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018113.xml.htm"/>
      <w:bookmarkStart w:id="1" w:name="kswkform4_178601811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Urban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EOS ENERGY ENTERPRISES,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TWO ALLEGHENY CENTER, NOVA TOWER 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Eos Energy Enterprises,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EOSE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12,185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5.48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97,767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73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90"/>
        <w:gridCol w:w="861"/>
        <w:gridCol w:w="891"/>
        <w:gridCol w:w="771"/>
        <w:gridCol w:w="591"/>
        <w:gridCol w:w="300"/>
        <w:gridCol w:w="60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73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31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Subscription Rights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5.48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12,185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07/21/2026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12,185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Warrant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5.48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5,347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5,347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5,347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conversion of a subscription right issued by the Issuer as part of a rights offering that closed on July 21, 2026 (the "Rights Offering"). Each subscription right was exercisable for units that consisted of (i) 1 share of common stock and (ii) 0.4388 of a warrant exercisable to acquire a share of common stock at an exercise price of $5.48 per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Warrants became exercisable immediately after the Rights Offering closed and expire 10 years later, unless exercised or redeemed earlier. If a warrant is not exercised or redeemed before it expires, it will have no value.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Sumeet Puri as attorney-in-fact for David Urban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2220" TargetMode="External"/><Relationship Id="rId5" Type="http://schemas.openxmlformats.org/officeDocument/2006/relationships/hyperlink" Target="http://www.sec.gov/cgi-bin/browse-edgar?action=getcompany&amp;CIK=00018050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706</Words>
  <Characters>3775</Characters>
  <CharactersWithSpaces>4388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